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36282B" w:rsidRDefault="006A523C">
      <w:pPr>
        <w:spacing w:line="276" w:lineRule="auto"/>
        <w:rPr>
          <w:rFonts w:ascii="Times New Roman" w:eastAsia="Times New Roman" w:hAnsi="Times New Roman" w:cs="Times New Roman"/>
          <w:b/>
          <w:color w:val="221E1F"/>
        </w:rPr>
      </w:pPr>
      <w:r>
        <w:rPr>
          <w:rFonts w:ascii="Times New Roman" w:eastAsia="Times New Roman" w:hAnsi="Times New Roman" w:cs="Times New Roman"/>
          <w:b/>
          <w:color w:val="221E1F"/>
        </w:rPr>
        <w:t>Chapter 5</w:t>
      </w:r>
      <w:r>
        <w:rPr>
          <w:rFonts w:ascii="Times New Roman" w:eastAsia="Times New Roman" w:hAnsi="Times New Roman" w:cs="Times New Roman"/>
          <w:b/>
          <w:color w:val="A8AAAD"/>
        </w:rPr>
        <w:br/>
      </w:r>
      <w:r>
        <w:rPr>
          <w:rFonts w:ascii="Times New Roman" w:eastAsia="Times New Roman" w:hAnsi="Times New Roman" w:cs="Times New Roman"/>
          <w:b/>
          <w:color w:val="221E1F"/>
        </w:rPr>
        <w:t>(Mis)Education: Black Girls’ and Women’s Experiences in School Settings</w:t>
      </w:r>
    </w:p>
    <w:p w14:paraId="00000002" w14:textId="77777777" w:rsidR="0036282B" w:rsidRDefault="0036282B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3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disability</w:t>
      </w:r>
    </w:p>
    <w:p w14:paraId="00000004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When someone has </w:t>
      </w:r>
      <w:proofErr w:type="gramStart"/>
      <w:r>
        <w:rPr>
          <w:rFonts w:ascii="Times New Roman" w:eastAsia="Times New Roman" w:hAnsi="Times New Roman" w:cs="Times New Roman"/>
        </w:rPr>
        <w:t>a  history</w:t>
      </w:r>
      <w:proofErr w:type="gramEnd"/>
      <w:r>
        <w:rPr>
          <w:rFonts w:ascii="Times New Roman" w:eastAsia="Times New Roman" w:hAnsi="Times New Roman" w:cs="Times New Roman"/>
        </w:rPr>
        <w:t xml:space="preserve"> of a physical or mental impairment that limits one or more major daily life activities, or an individual perceived by others as having an impairment</w:t>
      </w:r>
    </w:p>
    <w:p w14:paraId="00000005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6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Framework exploring how race and gender oppression are produced by capitalism, suggests that schools solidify or exaggerate the inequalities children bring with them to school </w:t>
      </w:r>
    </w:p>
    <w:p w14:paraId="00000007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Social reproduction theory</w:t>
      </w:r>
    </w:p>
    <w:p w14:paraId="00000008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9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1954 U.S. Supreme Court ruling that U.S. state laws establishing racial segregation in public schools were unconstitutional </w:t>
      </w:r>
    </w:p>
    <w:p w14:paraId="0000000A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Brown v. Board of Education </w:t>
      </w:r>
    </w:p>
    <w:p w14:paraId="0000000B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0C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Currently, the only two </w:t>
      </w:r>
      <w:proofErr w:type="spellStart"/>
      <w:r>
        <w:rPr>
          <w:rFonts w:ascii="Times New Roman" w:eastAsia="Times New Roman" w:hAnsi="Times New Roman" w:cs="Times New Roman"/>
        </w:rPr>
        <w:t>two</w:t>
      </w:r>
      <w:proofErr w:type="spellEnd"/>
      <w:r>
        <w:rPr>
          <w:rFonts w:ascii="Times New Roman" w:eastAsia="Times New Roman" w:hAnsi="Times New Roman" w:cs="Times New Roman"/>
        </w:rPr>
        <w:t xml:space="preserve"> historically Black colleges for women in the United States, </w:t>
      </w:r>
    </w:p>
    <w:p w14:paraId="0000000D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Bennett College in Greensboro, North Carolina, and Spelman College in Atlanta, Georgia </w:t>
      </w:r>
    </w:p>
    <w:p w14:paraId="0000000E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</w:rPr>
      </w:pPr>
    </w:p>
    <w:p w14:paraId="0000000F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What </w:t>
      </w:r>
      <w:proofErr w:type="gramStart"/>
      <w:r>
        <w:rPr>
          <w:rFonts w:ascii="Times New Roman" w:eastAsia="Times New Roman" w:hAnsi="Times New Roman" w:cs="Times New Roman"/>
          <w:color w:val="221E1F"/>
        </w:rPr>
        <w:t>STEM</w:t>
      </w:r>
      <w:proofErr w:type="gramEnd"/>
      <w:r>
        <w:rPr>
          <w:rFonts w:ascii="Times New Roman" w:eastAsia="Times New Roman" w:hAnsi="Times New Roman" w:cs="Times New Roman"/>
          <w:color w:val="221E1F"/>
        </w:rPr>
        <w:t xml:space="preserve"> stands for.</w:t>
      </w:r>
    </w:p>
    <w:p w14:paraId="00000010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science, technology, engineering, and mathematics </w:t>
      </w:r>
    </w:p>
    <w:p w14:paraId="00000011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2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_______ is described as mentoring that occurs when mentors and mentees connect through casual contexts such as providing emotional support and guidance</w:t>
      </w:r>
    </w:p>
    <w:p w14:paraId="00000013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Informal mentoring  </w:t>
      </w:r>
    </w:p>
    <w:p w14:paraId="00000014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5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intrinsic motivation</w:t>
      </w:r>
    </w:p>
    <w:p w14:paraId="00000016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Engaging in a behavior as a personal reward</w:t>
      </w:r>
    </w:p>
    <w:p w14:paraId="00000017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8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Identity interference </w:t>
      </w:r>
    </w:p>
    <w:p w14:paraId="00000019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feeling as if performing one identity interferes with another</w:t>
      </w:r>
    </w:p>
    <w:p w14:paraId="0000001A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B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disproportionate tendency of children and young adults from disadvantaged backgrounds to become incarcerated due to harsher school policies</w:t>
      </w:r>
    </w:p>
    <w:p w14:paraId="0000001C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school- to- prison pipeline </w:t>
      </w:r>
    </w:p>
    <w:p w14:paraId="0000001D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1E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mentoring</w:t>
      </w:r>
    </w:p>
    <w:p w14:paraId="0000001F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relationship in which a more experienced professional provides guidance, teaches, trains, and offers counsel to a less skilled student or professional</w:t>
      </w:r>
    </w:p>
    <w:p w14:paraId="00000020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color w:val="FF0000"/>
          <w:highlight w:val="yellow"/>
        </w:rPr>
      </w:pPr>
    </w:p>
    <w:p w14:paraId="00000021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social comparison  </w:t>
      </w:r>
    </w:p>
    <w:p w14:paraId="00000022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Comparing certain aspects of an individual, such as behavior, opinions, status, and success, to other people to have a better assessment of oneself) </w:t>
      </w:r>
    </w:p>
    <w:p w14:paraId="00000023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4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Black girls’ literacies framework</w:t>
      </w:r>
    </w:p>
    <w:p w14:paraId="00000025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framework centering race and gender and foregrounds the use of reading and writing to foster community, with peer collaborations, and to encourage social change</w:t>
      </w:r>
    </w:p>
    <w:p w14:paraId="00000026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7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The idea of rejecting school activities associated with academic success that one may perceive as “acting White.” </w:t>
      </w:r>
    </w:p>
    <w:p w14:paraId="00000028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Oppositional Identity</w:t>
      </w:r>
    </w:p>
    <w:p w14:paraId="00000029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A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Value- based norms stemming from one identity that </w:t>
      </w:r>
      <w:proofErr w:type="gramStart"/>
      <w:r>
        <w:rPr>
          <w:rFonts w:ascii="Times New Roman" w:eastAsia="Times New Roman" w:hAnsi="Times New Roman" w:cs="Times New Roman"/>
        </w:rPr>
        <w:t>are in conflict with</w:t>
      </w:r>
      <w:proofErr w:type="gramEnd"/>
      <w:r>
        <w:rPr>
          <w:rFonts w:ascii="Times New Roman" w:eastAsia="Times New Roman" w:hAnsi="Times New Roman" w:cs="Times New Roman"/>
        </w:rPr>
        <w:t xml:space="preserve"> another identity</w:t>
      </w:r>
    </w:p>
    <w:p w14:paraId="0000002B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Identity Incompatibility</w:t>
      </w:r>
    </w:p>
    <w:p w14:paraId="0000002C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D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</w:rPr>
        <w:t>Counterspaces</w:t>
      </w:r>
      <w:proofErr w:type="spellEnd"/>
    </w:p>
    <w:p w14:paraId="0000002E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Safe spaces where marginalized students challenge each other to push beyond stereotypical narratives, develop </w:t>
      </w:r>
      <w:proofErr w:type="spellStart"/>
      <w:r>
        <w:rPr>
          <w:rFonts w:ascii="Times New Roman" w:eastAsia="Times New Roman" w:hAnsi="Times New Roman" w:cs="Times New Roman"/>
        </w:rPr>
        <w:t>counterstories</w:t>
      </w:r>
      <w:proofErr w:type="spellEnd"/>
      <w:r>
        <w:rPr>
          <w:rFonts w:ascii="Times New Roman" w:eastAsia="Times New Roman" w:hAnsi="Times New Roman" w:cs="Times New Roman"/>
        </w:rPr>
        <w:t xml:space="preserve">, and learn adaptive strategies from others who are navigating similar struggles. </w:t>
      </w:r>
    </w:p>
    <w:p w14:paraId="0000002F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0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</w:rPr>
        <w:tab/>
        <w:t xml:space="preserve">The belief that you won’t be punished or humiliated for speaking up with ideas, questions, concerns, or mistakes. </w:t>
      </w:r>
    </w:p>
    <w:p w14:paraId="00000031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Psychological Safety</w:t>
      </w:r>
    </w:p>
    <w:p w14:paraId="00000032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3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feeling of self- doubt regarding intellect, skills, or accomplishments.</w:t>
      </w:r>
    </w:p>
    <w:p w14:paraId="00000034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Imposture Phenomenon</w:t>
      </w:r>
    </w:p>
    <w:p w14:paraId="00000035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6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Self-Efficacy</w:t>
      </w:r>
    </w:p>
    <w:p w14:paraId="00000037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 xml:space="preserve">An individual’s belief in their ability to perform a specific task or goal </w:t>
      </w:r>
    </w:p>
    <w:p w14:paraId="00000038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9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When a Black adolescent’s ethnic/ racial identity is perceived as being not “Black enough” by other Black adolescents or non- Black adolescents.</w:t>
      </w:r>
    </w:p>
    <w:p w14:paraId="0000003A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Acting White accusation</w:t>
      </w:r>
    </w:p>
    <w:p w14:paraId="0000003B" w14:textId="77777777" w:rsidR="0036282B" w:rsidRDefault="0036282B" w:rsidP="006A523C">
      <w:pPr>
        <w:ind w:left="1440" w:hanging="1440"/>
        <w:rPr>
          <w:rFonts w:ascii="Times New Roman" w:eastAsia="Times New Roman" w:hAnsi="Times New Roman" w:cs="Times New Roman"/>
          <w:b/>
        </w:rPr>
      </w:pPr>
    </w:p>
    <w:p w14:paraId="0000003C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Hidden Curriculum</w:t>
      </w:r>
    </w:p>
    <w:p w14:paraId="0000003D" w14:textId="77777777" w:rsidR="0036282B" w:rsidRDefault="006A523C" w:rsidP="006A523C">
      <w:pPr>
        <w:ind w:left="1440" w:hanging="1440"/>
        <w:rPr>
          <w:rFonts w:ascii="Times New Roman" w:eastAsia="Times New Roman" w:hAnsi="Times New Roman" w:cs="Times New Roman"/>
          <w:b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Unspoken values, beliefs, norms, and culture taught by educators through interactions, modeling, and school or classroom culture.</w:t>
      </w:r>
    </w:p>
    <w:sectPr w:rsidR="0036282B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B35A" w14:textId="77777777" w:rsidR="006A523C" w:rsidRDefault="006A523C" w:rsidP="006A523C">
      <w:r>
        <w:separator/>
      </w:r>
    </w:p>
  </w:endnote>
  <w:endnote w:type="continuationSeparator" w:id="0">
    <w:p w14:paraId="6E0481AB" w14:textId="77777777" w:rsidR="006A523C" w:rsidRDefault="006A523C" w:rsidP="006A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DA245E34-EA49-411F-B194-510F50935E8A}"/>
    <w:embedItalic r:id="rId2" w:fontKey="{3BB75CF6-9757-44F0-952A-816766CCA039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0ABA5EA4-347D-4B30-A916-67257B8ABB7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3DB7A" w14:textId="4604ADA2" w:rsidR="006A523C" w:rsidRPr="006A523C" w:rsidRDefault="006A523C" w:rsidP="006A523C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6A523C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436B5" w14:textId="77777777" w:rsidR="006A523C" w:rsidRDefault="006A523C" w:rsidP="006A523C">
      <w:r>
        <w:separator/>
      </w:r>
    </w:p>
  </w:footnote>
  <w:footnote w:type="continuationSeparator" w:id="0">
    <w:p w14:paraId="2E5D2105" w14:textId="77777777" w:rsidR="006A523C" w:rsidRDefault="006A523C" w:rsidP="006A5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2B"/>
    <w:rsid w:val="0036282B"/>
    <w:rsid w:val="005663EF"/>
    <w:rsid w:val="006A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6A5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23C"/>
  </w:style>
  <w:style w:type="paragraph" w:styleId="Footer">
    <w:name w:val="footer"/>
    <w:basedOn w:val="Normal"/>
    <w:link w:val="FooterChar"/>
    <w:uiPriority w:val="99"/>
    <w:unhideWhenUsed/>
    <w:rsid w:val="006A5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xDlnpeNtpncoNqPFF9DvjrpYKw==">CgMxLjA4AHIhMU55cFZEYzJvV1RiVDlRcmlWc3pKRTUyQlRuS2M5NUNh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97F46C3-A11F-4406-BA0F-B436E1F1BC81}"/>
</file>

<file path=customXml/itemProps3.xml><?xml version="1.0" encoding="utf-8"?>
<ds:datastoreItem xmlns:ds="http://schemas.openxmlformats.org/officeDocument/2006/customXml" ds:itemID="{DF936466-B069-4FCA-8555-217FCB4B6D34}"/>
</file>

<file path=customXml/itemProps4.xml><?xml version="1.0" encoding="utf-8"?>
<ds:datastoreItem xmlns:ds="http://schemas.openxmlformats.org/officeDocument/2006/customXml" ds:itemID="{0F7B0195-84DA-4E56-839B-5A79140A19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